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4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EA39C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EA39C6">
        <w:rPr>
          <w:rStyle w:val="Bold"/>
          <w:rFonts w:asciiTheme="minorHAnsi" w:hAnsiTheme="minorHAnsi"/>
          <w:b/>
          <w:bCs/>
          <w:spacing w:val="-10"/>
        </w:rPr>
        <w:t>s</w:t>
      </w:r>
      <w:r w:rsidR="00B952F7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B952F7" w:rsidRDefault="00B952F7" w:rsidP="00B952F7">
      <w:pPr>
        <w:rPr>
          <w:b/>
        </w:rPr>
      </w:pPr>
      <w:r>
        <w:rPr>
          <w:b/>
        </w:rPr>
        <w:t xml:space="preserve">na podstawie treści zawartych w podstawie programowej, programie nauczania oraz podręczniku dla klasy ósmej szkoły podstawowej </w:t>
      </w:r>
      <w:r>
        <w:rPr>
          <w:b/>
          <w:i/>
        </w:rPr>
        <w:t>Biologia WSiP.</w:t>
      </w:r>
    </w:p>
    <w:p w:rsidR="00B952F7" w:rsidRPr="00EA39C6" w:rsidRDefault="00B952F7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</w:p>
    <w:p w:rsidR="00943F44" w:rsidRPr="005C2D94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>
        <w:rPr>
          <w:rStyle w:val="Bold"/>
          <w:rFonts w:asciiTheme="minorHAnsi" w:hAnsiTheme="minorHAnsi"/>
          <w:b/>
          <w:bCs/>
          <w:color w:val="154194"/>
        </w:rPr>
        <w:t>8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943F44" w:rsidRPr="00AD60DC" w:rsidTr="00EA39C6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AD60DC" w:rsidTr="00EA39C6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podaje, że wszystkie komórki danego organizmu mają tę samą informację o cechach organizmu, jednak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5. Dziedziczenie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 genotyp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określa fenotyp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podaje przykłady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analizuje schematy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rozwiązuje zadania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dotyczące dziedziczenia wybranych cech u człowieka</w:t>
            </w:r>
          </w:p>
        </w:tc>
      </w:tr>
      <w:tr w:rsidR="002E120F" w:rsidRPr="00AD60DC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lastRenderedPageBreak/>
              <w:t>DZIAŁ 2. ZMIENNOŚĆ GENETYCZNA I EWOLUCJONIZM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wieka będących 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przykłady czynników mutagennych fizycznych, chemicznych i biologicznych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nowotwory jako skutek 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 proces mejozy oraz zapłodnienie 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12. Dobór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wymienia zmienność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potomstwai dobór 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uzasadnia, na czym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wyjaśnia sposób działania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do- boru naturalnego na organizmy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podaje przykłady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porównuje dobór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naturalnyi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13. Miejsce człowiekaw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•wszystkie wymagania z lekcji 9–13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człowiekai dla zachowania równowagiw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populacjai jakie są jej cechy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jakiwywierają one wpływ naliczebność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17. Oddziaływania antagonistyczne. Konkurencja.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wskazuje zasoby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przyrody,o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konkurencję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opisuje adaptacje wybranych gatunków zwierząt i roślin do pasożytniczego trybu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porównuje oddziaływania antagonistyczne: konkurencjęi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wo</w:t>
            </w:r>
          </w:p>
        </w:tc>
      </w:tr>
      <w:tr w:rsidR="002E120F" w:rsidRPr="00AD60DC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podstawieopisu, fotografii, rysunków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adaptacjezwierząt do odżywiania siępokarmem roślinnym naprzykładzie wybranego ssakaroślinożernego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19. Oddziaływania nieantagonistyczne. Współpraca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wyróżnia trzy typy relacji nieantagonistycznych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tunkami na podstawie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wykazuje na wybranych przykładach, że mutualizm jest konieczny i wzajemnie korzystny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porównuje oddziaływania nieantagonistyczne pod kątem znaczenia dla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organizmów współpracujących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20. Charakterystyka ekosystemu. Zależności 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konsumentów (I-go i kolejnych rzędów), destruentówwybranej biocenozy lądoweji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rolę destruentów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destruentóww obiegu materii i przepływie energii przez ekosystem</w:t>
            </w:r>
          </w:p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•wszystkie wymagania z lekcji 15–20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22. Abiotyczne czynniki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wskazuje nieożywione i żywe elementy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wy- branych czynników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porównuje środowisko lądowei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wodne pod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kątem czynnikówabiotycznych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zuje powiązania między żywymi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zakresietolerancji ekologicznej wobecwybranego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tunek jest eurybiontem lub stenobiontem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 przyrody na odnawialne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dlaczego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cjonalnego gospodarowania zasobami przyrody zgodniez zasadą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zrównoważonego rozwoju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formochrony przyrody w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najbliższejokolicy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nieczność ich stosowania dla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Polsce (park narodowy, rezerwat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 celowość utworzenia obszarów Natura 2000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jące za tym, że należy chronić nie tylko poszczególne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gatunki organizmów, lecz całą różno- rodność biologiczną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8"/>
      <w:footerReference w:type="even" r:id="rId9"/>
      <w:footerReference w:type="default" r:id="rId10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35" w:rsidRDefault="00F96E35" w:rsidP="00EA39C6">
      <w:pPr>
        <w:spacing w:after="0" w:line="240" w:lineRule="auto"/>
      </w:pPr>
      <w:r>
        <w:separator/>
      </w:r>
    </w:p>
  </w:endnote>
  <w:endnote w:type="continuationSeparator" w:id="1">
    <w:p w:rsidR="00F96E35" w:rsidRDefault="00F96E35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Default="00286BAE" w:rsidP="00B952F7">
    <w:pPr>
      <w:pStyle w:val="Stopka"/>
      <w:tabs>
        <w:tab w:val="clear" w:pos="9072"/>
        <w:tab w:val="right" w:pos="9639"/>
      </w:tabs>
      <w:spacing w:before="120"/>
    </w:pPr>
    <w:r w:rsidRPr="00286BAE">
      <w:rPr>
        <w:b/>
        <w:noProof/>
        <w:color w:val="003892"/>
      </w:rPr>
      <w:pict>
        <v:line id="Łącznik prostoliniowy 3" o:spid="_x0000_s4099" style="position:absolute;z-index:25166233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<v:stroke joinstyle="miter"/>
        </v:line>
      </w:pict>
    </w:r>
    <w:r w:rsidRPr="00286BAE">
      <w:rPr>
        <w:b/>
        <w:noProof/>
        <w:color w:val="003892"/>
      </w:rPr>
      <w:pict>
        <v:line id="Łącznik prostoliniowy 5" o:spid="_x0000_s4098" style="position:absolute;z-index:2516633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<v:stroke joinstyle="miter"/>
        </v:line>
      </w:pict>
    </w:r>
  </w:p>
  <w:p w:rsidR="00EA39C6" w:rsidRDefault="00286BAE" w:rsidP="00B952F7">
    <w:pPr>
      <w:pStyle w:val="Stopka"/>
      <w:tabs>
        <w:tab w:val="clear" w:pos="4536"/>
        <w:tab w:val="clear" w:pos="9072"/>
      </w:tabs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559.5pt;margin-top:531pt;width:233.25pt;height:1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<v:textbox inset="0,0,0,0">
            <w:txbxContent>
              <w:p w:rsidR="00EA39C6" w:rsidRDefault="00EA39C6" w:rsidP="00B952F7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  <w:p w:rsidR="00EA39C6" w:rsidRDefault="00286BAE" w:rsidP="00EA39C6">
    <w:pPr>
      <w:pStyle w:val="Stopka"/>
      <w:ind w:left="-1417"/>
      <w:jc w:val="center"/>
    </w:pPr>
    <w:r>
      <w:fldChar w:fldCharType="begin"/>
    </w:r>
    <w:r w:rsidR="00EA39C6">
      <w:instrText>PAGE   \* MERGEFORMAT</w:instrText>
    </w:r>
    <w:r>
      <w:fldChar w:fldCharType="separate"/>
    </w:r>
    <w:r w:rsidR="00B952F7">
      <w:rPr>
        <w:noProof/>
      </w:rPr>
      <w:t>1</w:t>
    </w:r>
    <w:r>
      <w:fldChar w:fldCharType="end"/>
    </w:r>
  </w:p>
  <w:p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35" w:rsidRDefault="00F96E35" w:rsidP="00EA39C6">
      <w:pPr>
        <w:spacing w:after="0" w:line="240" w:lineRule="auto"/>
      </w:pPr>
      <w:r>
        <w:separator/>
      </w:r>
    </w:p>
  </w:footnote>
  <w:footnote w:type="continuationSeparator" w:id="1">
    <w:p w:rsidR="00F96E35" w:rsidRDefault="00F96E35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Default="00B952F7" w:rsidP="00EA39C6">
    <w:pPr>
      <w:pStyle w:val="Nagwek"/>
      <w:tabs>
        <w:tab w:val="clear" w:pos="9072"/>
      </w:tabs>
      <w:ind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A39C6" w:rsidRDefault="00EA39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7A17"/>
    <w:rsid w:val="00286BAE"/>
    <w:rsid w:val="002C52D0"/>
    <w:rsid w:val="002E120F"/>
    <w:rsid w:val="002E6BED"/>
    <w:rsid w:val="00381A0C"/>
    <w:rsid w:val="005C2D94"/>
    <w:rsid w:val="00617A17"/>
    <w:rsid w:val="0063690C"/>
    <w:rsid w:val="007173BB"/>
    <w:rsid w:val="008257EB"/>
    <w:rsid w:val="00943F44"/>
    <w:rsid w:val="0095716E"/>
    <w:rsid w:val="00A227F2"/>
    <w:rsid w:val="00AD60DC"/>
    <w:rsid w:val="00B952F7"/>
    <w:rsid w:val="00EA39C6"/>
    <w:rsid w:val="00F96E35"/>
    <w:rsid w:val="00FC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286BA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286BA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286BA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286BA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286BA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286BA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286BA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286BA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286BA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286BAE"/>
    <w:rPr>
      <w:b/>
      <w:bCs/>
    </w:rPr>
  </w:style>
  <w:style w:type="character" w:customStyle="1" w:styleId="BoldCondensed">
    <w:name w:val="BoldCondensed"/>
    <w:uiPriority w:val="99"/>
    <w:rsid w:val="00286BAE"/>
    <w:rPr>
      <w:b/>
      <w:bCs/>
    </w:rPr>
  </w:style>
  <w:style w:type="character" w:customStyle="1" w:styleId="boldasia">
    <w:name w:val="bold (asia)"/>
    <w:uiPriority w:val="99"/>
    <w:rsid w:val="00286BAE"/>
    <w:rPr>
      <w:b/>
      <w:bCs/>
    </w:rPr>
  </w:style>
  <w:style w:type="character" w:customStyle="1" w:styleId="Indeksdolny">
    <w:name w:val="Indeks dolny"/>
    <w:uiPriority w:val="99"/>
    <w:rsid w:val="00286BAE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286BAE"/>
    <w:rPr>
      <w:u w:val="none"/>
    </w:rPr>
  </w:style>
  <w:style w:type="character" w:customStyle="1" w:styleId="kropaniebieska">
    <w:name w:val="kropa niebieska"/>
    <w:uiPriority w:val="99"/>
    <w:rsid w:val="00286BAE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9EF6-CB7E-4F4D-9CE9-47DBCA8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2025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admin</cp:lastModifiedBy>
  <cp:revision>2</cp:revision>
  <dcterms:created xsi:type="dcterms:W3CDTF">2019-09-25T15:05:00Z</dcterms:created>
  <dcterms:modified xsi:type="dcterms:W3CDTF">2019-09-25T15:05:00Z</dcterms:modified>
</cp:coreProperties>
</file>